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>
      <w:pPr>
        <w:pStyle w:val="Normal"/>
        <w:widowControl w:val="false"/>
        <w:spacing w:lineRule="auto" w:line="240" w:before="0" w:after="0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вносится</w:t>
      </w:r>
    </w:p>
    <w:p>
      <w:pPr>
        <w:pStyle w:val="Normal"/>
        <w:widowControl w:val="false"/>
        <w:spacing w:lineRule="auto" w:line="240" w:before="0" w:after="0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депутатами Государственной Думы А.Г. Аксаковым, И.Б. Дивинским, О.А. Николаевым, членом Совета Федерации Н.А.Журавлевым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widowControl w:val="false"/>
        <w:spacing w:lineRule="auto" w:line="360" w:before="0" w:after="0"/>
        <w:ind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hanging="0"/>
        <w:jc w:val="center"/>
        <w:rPr>
          <w:strike/>
        </w:rPr>
      </w:pPr>
      <w:r>
        <w:rPr>
          <w:rFonts w:ascii="Times New Roman" w:hAnsi="Times New Roman"/>
          <w:b/>
          <w:bCs/>
          <w:strike/>
          <w:sz w:val="28"/>
          <w:szCs w:val="28"/>
        </w:rPr>
        <w:t>О цифровых финансовых активах</w:t>
      </w:r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strike w:val="false"/>
          <w:dstrike w:val="false"/>
          <w:color w:val="CE181E"/>
        </w:rPr>
      </w:pPr>
      <w:r>
        <w:rPr>
          <w:rFonts w:ascii="Times New Roman" w:hAnsi="Times New Roman"/>
          <w:b/>
          <w:bCs/>
          <w:strike w:val="false"/>
          <w:dstrike w:val="false"/>
          <w:color w:val="CE181E"/>
          <w:sz w:val="28"/>
          <w:szCs w:val="28"/>
        </w:rPr>
        <w:t>О запрете свободного обращения денег вне зоны контроля еврейских олигархов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1. Предмет регулирования и сфера действия настоящего Федерального закона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Федеральным законом </w:t>
      </w:r>
      <w:r>
        <w:rPr>
          <w:rFonts w:ascii="Times New Roman" w:hAnsi="Times New Roman" w:eastAsiaTheme="minorEastAsia"/>
          <w:color w:val="CE181E"/>
          <w:sz w:val="28"/>
          <w:szCs w:val="28"/>
          <w:highlight w:val="yellow"/>
        </w:rPr>
        <w:t>регулируются отношения, возникающие при создании, выпуске, хранении и обращении цифровых финансовых активов</w:t>
      </w:r>
      <w:r>
        <w:rPr>
          <w:rFonts w:ascii="Times New Roman" w:hAnsi="Times New Roman"/>
          <w:sz w:val="28"/>
          <w:szCs w:val="28"/>
        </w:rPr>
        <w:t>, а также осуществлении прав и исполнении обязанностей по смарт-контрактам.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 Основные понятия, используемые в настоящем Федеральном законе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/>
          <w:sz w:val="28"/>
          <w:szCs w:val="28"/>
        </w:rPr>
        <w:t>Цифровой финансовый актив – имущество в электронной форме, созданное с использованием криптографических средств. Право собственности на данное имущество удостоверяется путем внесения цифровых записей в реестр цифровых транзакций.</w:t>
      </w:r>
      <w:r>
        <w:rPr>
          <w:rFonts w:cs="Calibri"/>
        </w:rPr>
        <w:t xml:space="preserve"> </w:t>
      </w:r>
      <w:r>
        <w:rPr>
          <w:rFonts w:ascii="Times New Roman" w:hAnsi="Times New Roman" w:eastAsiaTheme="minorEastAsia"/>
          <w:color w:val="CE181E"/>
          <w:sz w:val="28"/>
          <w:szCs w:val="28"/>
          <w:highlight w:val="yellow"/>
        </w:rPr>
        <w:t>К цифровым финансовым активам относятся криптовалюта, токен. Цифровые финансовые активы не являются законным средством платежа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Цифровая транзакция – действие или последовательность действий, направленных на создание, выпуск, обращение цифровых финансовых активов.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Цифровая запись – информация о цифровых финансовых активах, зафиксированная в реестре цифровых транзакций.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EastAsia" w:ascii="Times New Roman" w:hAnsi="Times New Roman"/>
          <w:sz w:val="28"/>
          <w:szCs w:val="28"/>
          <w:highlight w:val="yellow"/>
        </w:rPr>
        <w:t xml:space="preserve">Реестр цифровых транзакций – формируемая на определенный момент времени </w:t>
      </w:r>
      <w:r>
        <w:rPr>
          <w:rFonts w:eastAsiaTheme="minorEastAsia" w:ascii="Times New Roman" w:hAnsi="Times New Roman"/>
          <w:color w:val="CE181E"/>
          <w:sz w:val="28"/>
          <w:szCs w:val="28"/>
          <w:highlight w:val="yellow"/>
        </w:rPr>
        <w:t>систематизированная база</w:t>
      </w:r>
      <w:r>
        <w:rPr>
          <w:rFonts w:eastAsiaTheme="minorEastAsia" w:ascii="Times New Roman" w:hAnsi="Times New Roman"/>
          <w:sz w:val="28"/>
          <w:szCs w:val="28"/>
          <w:highlight w:val="yellow"/>
        </w:rPr>
        <w:t xml:space="preserve"> цифровых записей.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  <w:highlight w:val="yellow"/>
        </w:rPr>
        <w:t xml:space="preserve">Распределенный реестр цифровых транзакций – формируемая на определенный момент времени </w:t>
      </w:r>
      <w:r>
        <w:rPr>
          <w:rFonts w:ascii="Times New Roman" w:hAnsi="Times New Roman" w:eastAsiaTheme="minorEastAsia"/>
          <w:color w:val="CE181E"/>
          <w:sz w:val="28"/>
          <w:szCs w:val="28"/>
          <w:highlight w:val="yellow"/>
        </w:rPr>
        <w:t>систематизированная база</w:t>
      </w:r>
      <w:r>
        <w:rPr>
          <w:rFonts w:ascii="Times New Roman" w:hAnsi="Times New Roman" w:eastAsiaTheme="minorEastAsia"/>
          <w:sz w:val="28"/>
          <w:szCs w:val="28"/>
          <w:highlight w:val="yellow"/>
        </w:rPr>
        <w:t xml:space="preserve"> цифровых транзакций</w:t>
      </w:r>
      <w:r>
        <w:rPr>
          <w:rFonts w:ascii="Times New Roman" w:hAnsi="Times New Roman"/>
          <w:sz w:val="28"/>
          <w:szCs w:val="28"/>
        </w:rPr>
        <w:t>, которые хранятся, одновременно создаются и обновляются на всех носителях у всех участников реестра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заданных алгоритмов, обеспечивающих ее тождественность у всех пользователей реестра.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реестра цифровых транзакций – лица, осуществляющие цифровые транзакции в соответствии с правилами ведения реестра цифровых транзакций.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Валидатор – юридическое или физическое лицо, являющееся участником реестра цифровых транзакций и осуществляющее деятельность по валидации цифровых записей в реестре цифровых транзакций в соответствии с правилами ведения реестра цифровых транзакций.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color w:val="CE181E"/>
          <w:sz w:val="28"/>
          <w:szCs w:val="28"/>
          <w:highlight w:val="yellow"/>
        </w:rPr>
        <w:t>Оператор обмена цифровых финансовых активов – юридическое лицо, совершающее</w:t>
      </w:r>
      <w:r>
        <w:rPr>
          <w:rFonts w:ascii="Times New Roman" w:hAnsi="Times New Roman" w:eastAsiaTheme="minorEastAsia"/>
          <w:color w:val="CE181E"/>
          <w:sz w:val="28"/>
          <w:highlight w:val="yellow"/>
        </w:rPr>
        <w:t xml:space="preserve"> сделки по обмену токенов на рубли или иностранную валюту.</w:t>
      </w:r>
      <w:r>
        <w:rPr>
          <w:rFonts w:ascii="Times New Roman" w:hAnsi="Times New Roman" w:eastAsiaTheme="minorEastAsia"/>
          <w:strike/>
          <w:color w:val="CE181E"/>
          <w:sz w:val="28"/>
          <w:highlight w:val="yellow"/>
        </w:rPr>
        <w:t xml:space="preserve"> </w:t>
      </w:r>
      <w:r>
        <w:rPr>
          <w:rFonts w:ascii="Times New Roman" w:hAnsi="Times New Roman" w:eastAsiaTheme="minorEastAsia"/>
          <w:color w:val="CE181E"/>
          <w:sz w:val="28"/>
          <w:szCs w:val="28"/>
          <w:highlight w:val="yellow"/>
        </w:rPr>
        <w:t>Операторами обмена цифровых финансовых активов могут быть только юридические лица, которые созданы в соответствии с законодательством Российской Федерации и осуществляют виды деятельности, указанные в статьях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szCs w:val="28"/>
        </w:rPr>
        <w:t>,4,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22 апреля 1996 г. № 39-ФЗ «О рынке ценных бумаг» (далее – Федеральный закон «О рынке ценных бумаг»), или юридические лица, являющиеся организаторами торговли в соответствии с Федеральным законом от 21 ноября 2011 г.  № 325-ФЗ «Об организованных торгах» (далее – Федеральный закон «Об организованных торгах»).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Валидация цифровой записи – юридически значимое действие по подтверждению действительности цифровых записей в реестре цифровых транзакций, осуществляемое в порядке, установленном правилами ведения реестра цифровых транзакций.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Майнинг – деятельность, направленная на создание криптовалюты и/или валидацию с целью получения вознаграждения в виде криптовалюты. Майнинг признается предпринимательской деятельностью в случае, когда лицо, которое его осуществляет, в течение трех месяцев подряд превышает лимиты энергопотребления, установленные Правительством Российской Федерации.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eastAsiaTheme="minorEastAsia"/>
          <w:color w:val="CE181E"/>
          <w:sz w:val="28"/>
          <w:szCs w:val="28"/>
          <w:highlight w:val="yellow"/>
        </w:rPr>
        <w:t>Криптовалюта – вид цифрового финансового актива, создаваемый и учитываемый в распределенном реестре цифровых транзакций</w:t>
      </w:r>
      <w:r>
        <w:rPr>
          <w:rFonts w:ascii="Times New Roman" w:hAnsi="Times New Roman"/>
          <w:sz w:val="28"/>
          <w:szCs w:val="28"/>
        </w:rPr>
        <w:t xml:space="preserve"> участниками этого реестра в соответствии с правилами ведения реестра цифровых транзакций.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/>
          <w:sz w:val="28"/>
          <w:szCs w:val="28"/>
        </w:rPr>
        <w:t>Токен – вид цифрового финансового актива, который выпускается юридическим лицом или индивидуальным предпринимателем (далее – эмитент) с целью привлечения финансирования и учитывается в реестре цифровых транзакций.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Смарт-контракт – договор в электронной форме, исполнение прав и обязательств по которому осуществляется путем совершения в автоматическом порядке цифровых транзакций в распределенном реестре цифровых транзакций в строго определенной таким договором последовательности и при наступлении определенных им обстоятельств.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Цифровой кошелек – программно-техническое средство, которое позволяет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хранить информацию о цифровых записях. Цифровой кошелек может обеспечивать доступ к реестру цифровых транзакций.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3. Особенности выпуска токенов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 целях настоящего Федерального закона под выпуском токенов понимается последовательность действий, направленная на отчуждение эмитентом токенов их приобретателям. У токена одного вида может быть только один эмитент. </w:t>
      </w:r>
      <w:r>
        <w:rPr>
          <w:rFonts w:ascii="Times New Roman" w:hAnsi="Times New Roman" w:eastAsiaTheme="minorEastAsia"/>
          <w:color w:val="CE181E"/>
          <w:sz w:val="28"/>
          <w:szCs w:val="28"/>
          <w:highlight w:val="yellow"/>
        </w:rPr>
        <w:t xml:space="preserve">Максимальная сумма, на которую лица, не являющиеся в соответствии с Федеральным законом «О рынке ценных бумаг» квалифицированными инвесторами, могут приобрести токены в рамках одного выпуска, устанавливается Банком России. </w:t>
      </w:r>
      <w:r>
        <w:rPr>
          <w:rFonts w:ascii="Times New Roman" w:hAnsi="Times New Roman" w:eastAsiaTheme="minorEastAsia"/>
          <w:color w:val="CE181E"/>
          <w:sz w:val="28"/>
          <w:szCs w:val="28"/>
          <w:highlight w:val="yellow"/>
        </w:rPr>
        <w:t>[О Банке России см. ниже]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Процедура выпуска токенов состоит из следующих этапов: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опубликование эмитентом токенов в информационно-телекоммуникационной сети «Интернет» инвестиционного меморандума, оферты, содержащей условия приобретения выпускаемых им токенов (далее – публичная оферта о выпуске токенов), а также иных определенных эмитентом документов, необходимых для выпуска токенов;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договоров, в том числе в форме смарт-контракта, направленных на отчуждение и оплату токенов их приобретателями.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Публичная оферта о выпуске токенов должна содержать: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эмитенте и его бенефициарном владельце (при наличии): полное наименование эмитента токенов и его бенефициарного владельца (при наличии), место нахождения и адрес постоянно действующего исполнительного органа эмитента и его бенефициарного владельца (при наличии), официальный сайт эмитента в информационно-телекоммуникационной сети «Интернет»;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лице, осуществляющем депозитарную деятельность, которому передаются на хранение экземпляры публичной оферты о выпуске токенов и инвестиционного меморандума (в случае, если эмитент самостоятельно учитывает права владельцев токенов);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цену приобретения выпускаемого токена или порядок ее определения;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начала заключения договоров о приобретении выпускаемых токенов;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направления акцепта публичной оферты о выпуске токенов, в том числе срок для направления акцепта, а также порядок оплаты приобретаемых токенов;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color w:val="auto"/>
          <w:sz w:val="28"/>
          <w:szCs w:val="28"/>
        </w:rPr>
        <w:t>сведения о максимальной сумме, на которую могут приобрести токены лица, не являющиеся в соответствии с Федеральным законом «О рынке ценных бумаг» квалифицированными инвесторами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ведения реестра цифровых транзакций, включающие, в том числе, порядок валидации цифровых транзакций;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 открытия цифровых кошельков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используемых для хранения информации о приобретаемых токенах и порядке доступа к реестру цифровых транзакций;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сведения, определенные эмитентом.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Публичная оферта о выпуске токенов должна быть подписана усиленной квалифицированной электронной подписью лица, осуществляющего функции единоличного исполнительного органа юридического лица – эмитента или индивидуального предпринимателя – эмитента.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учет прав владельцев токенов ведется эмитентом самостоятельно, то эмитент обязан передать на хранение экземпляр публичной оферты о выпуске токенов и инвестиционного меморандума лицу, осуществляющему депозитарную деятельность.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«бенефициарный владелец» используется в настоящем Федеральном законе в значении, определенном 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терроризма» (далее – Федеральный закон  «О противодействии легализации (отмыванию) доходов, полученных преступным путем, и финансированию терроризма»).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Инвестиционный меморандум должен содержать: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эмитенте: полное и сокращенное наименование, цели создания (при наличии), основные виды деятельности;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акционерах (участниках) эмитента, а также о структуре и компетенции органов управления эмитента;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выпуска токенов и направления использования средств, полученных в результате выпуска токенов. В случае если выпуск токенов осуществляется с целью финансирования определенного проекта, приводится описание такого проекта, в том числе бизнес-план (при наличии) и сроки его реализации, а также информация о рисках, связанных с осуществлением проекта;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предложения о привлечении инвестиций;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права, предоставляемые владельцу токена, и порядок осуществления таких прав;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иную информацию, которую эмитент посчитает необходимым указать в инвестиционном меморандуме.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Инвестиционный меморандум должен быть подписан лицом, осуществляющим функции единоличного исполнительного органа юридического лица – эмитента или индивидуальным предпринимателем – эмитентом, подтверждающими тем самым достоверность и полноту всей информации, содержащейся в инвестиционном меморандуме. </w:t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Инвестиционный меморандум, правила ведения реестра цифровых транзакций, а также иные документы, опубликование которых в соответствии с настоящим Федеральным законом осуществляется одновременно с публичной офертой о выпуске токенов, должны быть опубликованы не позднее, чем за 3 рабочих дня до указанной в оферте о выпуске токенов даты начала заключения договоров, направленных на отчуждение эмитентом токенов их владельцам.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eastAsiaTheme="minorEastAsia"/>
          <w:color w:val="CE181E"/>
          <w:highlight w:val="yellow"/>
        </w:rPr>
      </w:pPr>
      <w:r>
        <w:rPr>
          <w:rFonts w:eastAsiaTheme="minorEastAsia" w:ascii="Times New Roman" w:hAnsi="Times New Roman"/>
          <w:color w:val="CE181E"/>
          <w:sz w:val="28"/>
          <w:szCs w:val="28"/>
          <w:highlight w:val="yellow"/>
        </w:rPr>
        <w:t>До опубликования оферты о выпуске токенов выпускаемые токены не могут предлагаться потенциальным приобретателям в любой форме и любыми средствами с использованием рекламы.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eastAsiaTheme="minorEastAsia"/>
          <w:color w:val="CE181E"/>
          <w:highlight w:val="yellow"/>
        </w:rPr>
      </w:pPr>
      <w:r>
        <w:rPr>
          <w:rFonts w:eastAsiaTheme="minorEastAsia" w:ascii="Times New Roman" w:hAnsi="Times New Roman"/>
          <w:color w:val="CE181E"/>
          <w:sz w:val="28"/>
          <w:szCs w:val="28"/>
          <w:highlight w:val="yellow"/>
        </w:rPr>
        <w:t>[Публичное упоминание, в т.ч. в сети интернет, о существовании свободной неконтролируемой евреями валюты]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4. Особенности обращения цифровых финансовых активов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color w:val="CE181E"/>
          <w:sz w:val="28"/>
          <w:szCs w:val="28"/>
          <w:highlight w:val="yellow"/>
        </w:rPr>
        <w:t>Владельцы цифровых финансовых активов вправе совершать сделки по обмену токенов на рубли, иностранную валюту только через оператора обмена цифровых финансовых активов.</w:t>
      </w:r>
      <w:r>
        <w:rPr>
          <w:rFonts w:ascii="Times New Roman" w:hAnsi="Times New Roman"/>
          <w:sz w:val="28"/>
          <w:szCs w:val="28"/>
        </w:rPr>
        <w:t xml:space="preserve"> Перечень иных сделок по обмену цифровых финансовых активов, которые могут совершаться на территории Российской Федерации, а также порядок и условия совершения таких сделок устанавливаются Банком России по согласованию с Правительством Российской Федерации.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записи, содержащие информацию о таких сделках, должны храниться в цифровых кошельках, открытых сторонам сделки оператором обмена цифровых финансовых активов. Сделки по обмену токенов на рубли, иностранную валюту, заключаемые с привлечением оператора обмена цифровых финансовых активов, являющегося организатором торговли в соответствии с Федеральным законом «Об организованных торгах», должны осуществляться в соответствии с Правилами организованных торгов цифровыми финансовыми активами, зарегистрированными в Центральном банке Российской Федерации.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eastAsiaTheme="minorEastAsia" w:ascii="Times New Roman" w:hAnsi="Times New Roman"/>
          <w:color w:val="CE181E"/>
          <w:sz w:val="28"/>
          <w:szCs w:val="28"/>
          <w:highlight w:val="yellow"/>
        </w:rPr>
        <w:t xml:space="preserve">Цифровой кошелек открывается оператором обмена цифровых финансовых активов только после прохождения процедур </w:t>
      </w:r>
      <w:r>
        <w:rPr>
          <w:rFonts w:cs="Times New Roman" w:eastAsiaTheme="minorEastAsia" w:ascii="Times New Roman" w:hAnsi="Times New Roman"/>
          <w:b/>
          <w:bCs/>
          <w:color w:val="CE181E"/>
          <w:sz w:val="28"/>
          <w:szCs w:val="28"/>
          <w:highlight w:val="yellow"/>
        </w:rPr>
        <w:t>идентификации</w:t>
      </w:r>
      <w:r>
        <w:rPr>
          <w:rFonts w:cs="Times New Roman" w:eastAsiaTheme="minorEastAsia" w:ascii="Times New Roman" w:hAnsi="Times New Roman"/>
          <w:color w:val="CE181E"/>
          <w:sz w:val="28"/>
          <w:szCs w:val="28"/>
          <w:highlight w:val="yellow"/>
        </w:rPr>
        <w:t xml:space="preserve"> его владельца в соответствии с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>
      <w:pPr>
        <w:pStyle w:val="ConsPlusNormal"/>
        <w:spacing w:lineRule="auto" w:line="360"/>
        <w:ind w:firstLine="709"/>
        <w:jc w:val="both"/>
        <w:rPr>
          <w:rFonts w:eastAsiaTheme="minorEastAsia"/>
          <w:color w:val="CE181E"/>
          <w:highlight w:val="yellow"/>
        </w:rPr>
      </w:pPr>
      <w:r>
        <w:rPr>
          <w:rFonts w:cs="Times New Roman" w:eastAsiaTheme="minorEastAsia" w:ascii="Times New Roman" w:hAnsi="Times New Roman"/>
          <w:color w:val="CE181E"/>
          <w:sz w:val="28"/>
          <w:szCs w:val="28"/>
          <w:highlight w:val="yellow"/>
        </w:rPr>
        <w:t>Порядок открытия, хранения информации о цифровых записях, ведения, закрытия цифрового кошелька, а также требования к защите цифровых кошельков устанавливаются Центральным банком Российской Федерации.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>[«</w:t>
      </w: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>Возведение Центрального Банка – это 90% коммунизации нации</w:t>
      </w: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 xml:space="preserve">» - </w:t>
      </w: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>В. Ленин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 w:eastAsiaTheme="minorEastAsia"/>
          <w:color w:val="CE181E"/>
          <w:sz w:val="28"/>
          <w:szCs w:val="28"/>
          <w:highlight w:val="yellow"/>
        </w:rPr>
      </w:pPr>
      <w:r>
        <w:rPr/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>И</w:t>
      </w: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>стория ЦБ РФ: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 w:eastAsiaTheme="minorEastAsia"/>
          <w:color w:val="CE181E"/>
          <w:sz w:val="28"/>
          <w:szCs w:val="28"/>
          <w:highlight w:val="yellow"/>
        </w:rPr>
      </w:pPr>
      <w:r>
        <w:rPr/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>Известно, что Ротшильды рассердились на русских за то, что те не воздвигли им отдельный Центральный Банк на своей территории. И они собрали группу еврейских шпионов и пустили их в Россию, чтобы разжечь там революцию «на благо народа», которая в реальности являлась рейдерским захватом России со стороны еврейской элиты, контролируемой Ротшильдами.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 w:eastAsiaTheme="minorEastAsia"/>
          <w:color w:val="CE181E"/>
          <w:sz w:val="28"/>
          <w:szCs w:val="28"/>
          <w:highlight w:val="yellow"/>
        </w:rPr>
      </w:pPr>
      <w:r>
        <w:rPr/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>Эти еврейские шпионы, следуя многовековой еврейской традиции обмана, взяли русские имена и фамилии, например, Троцкий, он был членом первой группы, и его подлинная фамилия была Бронштейн. Эти группы были посланы в разные регионы России, чтобы инициировать восстание и гражданскую войну.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 w:eastAsiaTheme="minorEastAsia"/>
          <w:color w:val="CE181E"/>
          <w:sz w:val="28"/>
          <w:szCs w:val="28"/>
          <w:highlight w:val="yellow"/>
        </w:rPr>
      </w:pPr>
      <w:r>
        <w:rPr/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>Интернациональное Издание Еврейской Почты, по окончании недели 24 января 1991, подтверждает, что Владимир Ленин – еврей. Ленин также известен своим высказыванием: “Построение Центрального Банка – это 90% построения коммунизма в стране”.</w:t>
      </w:r>
      <w:r>
        <w:rPr>
          <w:rFonts w:cs="Times New Roman" w:ascii="Times New Roman" w:hAnsi="Times New Roman" w:eastAsiaTheme="minorEastAsia"/>
          <w:color w:val="CE181E"/>
          <w:sz w:val="28"/>
          <w:szCs w:val="28"/>
          <w:highlight w:val="yellow"/>
        </w:rPr>
        <w:t>]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Порядок вступления в силу настоящего Федерального закона</w:t>
      </w:r>
    </w:p>
    <w:p>
      <w:pPr>
        <w:pStyle w:val="Normal"/>
        <w:widowControl w:val="false"/>
        <w:spacing w:lineRule="auto" w:line="36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Федеральный закон вступает в силу по истечении 90 дней с даты его официального опубликования.</w:t>
      </w:r>
    </w:p>
    <w:p>
      <w:pPr>
        <w:pStyle w:val="Normal"/>
        <w:widowControl w:val="false"/>
        <w:spacing w:lineRule="auto" w:line="36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Президент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Российской Федерации,</w:t>
      </w:r>
    </w:p>
    <w:p>
      <w:pPr>
        <w:pStyle w:val="Normal"/>
        <w:widowControl w:val="false"/>
        <w:spacing w:lineRule="auto" w:line="240" w:before="0" w:after="0"/>
        <w:rPr>
          <w:rFonts w:eastAsiaTheme="minorEastAsia"/>
          <w:color w:val="CE181E"/>
          <w:highlight w:val="yellow"/>
        </w:rPr>
      </w:pPr>
      <w:r>
        <w:rPr>
          <w:rFonts w:eastAsiaTheme="minorEastAsia" w:ascii="Times New Roman" w:hAnsi="Times New Roman"/>
          <w:b/>
          <w:color w:val="CE181E"/>
          <w:sz w:val="28"/>
          <w:szCs w:val="28"/>
          <w:highlight w:val="yellow"/>
        </w:rPr>
        <w:t xml:space="preserve">[В.В. Путин. </w:t>
      </w:r>
      <w:r>
        <w:rPr>
          <w:rFonts w:eastAsiaTheme="minorEastAsia" w:ascii="Times New Roman" w:hAnsi="Times New Roman"/>
          <w:b/>
          <w:color w:val="CE181E"/>
          <w:sz w:val="28"/>
          <w:szCs w:val="28"/>
          <w:highlight w:val="yellow"/>
        </w:rPr>
        <w:t>Е</w:t>
      </w:r>
      <w:r>
        <w:rPr>
          <w:rFonts w:eastAsiaTheme="minorEastAsia" w:ascii="Times New Roman" w:hAnsi="Times New Roman"/>
          <w:b/>
          <w:color w:val="CE181E"/>
          <w:sz w:val="28"/>
          <w:szCs w:val="28"/>
          <w:highlight w:val="yellow"/>
        </w:rPr>
        <w:t xml:space="preserve">врей по крови, </w:t>
      </w:r>
      <w:r>
        <w:rPr>
          <w:rFonts w:eastAsiaTheme="minorEastAsia" w:ascii="Times New Roman" w:hAnsi="Times New Roman"/>
          <w:b/>
          <w:color w:val="CE181E"/>
          <w:sz w:val="28"/>
          <w:szCs w:val="28"/>
          <w:highlight w:val="yellow"/>
        </w:rPr>
        <w:t>см. подробнее: сайт Смерть коммунизма, Путин — еврей</w:t>
      </w:r>
    </w:p>
    <w:p>
      <w:pPr>
        <w:pStyle w:val="Normal"/>
        <w:widowControl w:val="false"/>
        <w:spacing w:lineRule="auto" w:line="240" w:before="0" w:after="0"/>
        <w:rPr>
          <w:rFonts w:eastAsiaTheme="minorEastAsia"/>
          <w:color w:val="CE181E"/>
          <w:highlight w:val="yellow"/>
        </w:rPr>
      </w:pPr>
      <w:hyperlink r:id="rId2">
        <w:r>
          <w:rPr>
            <w:rStyle w:val="InternetLink"/>
            <w:rFonts w:eastAsiaTheme="minorEastAsia" w:ascii="Times New Roman" w:hAnsi="Times New Roman"/>
            <w:b/>
            <w:color w:val="CE181E"/>
            <w:sz w:val="28"/>
            <w:szCs w:val="28"/>
            <w:highlight w:val="yellow"/>
          </w:rPr>
          <w:t>https://www.deathofcommunism.com/</w:t>
        </w:r>
        <w:r>
          <w:rPr>
            <w:rStyle w:val="InternetLink"/>
            <w:rFonts w:eastAsiaTheme="minorEastAsia" w:ascii="Times New Roman" w:hAnsi="Times New Roman"/>
            <w:b/>
            <w:color w:val="CE181E"/>
            <w:sz w:val="28"/>
            <w:szCs w:val="28"/>
            <w:highlight w:val="yellow"/>
          </w:rPr>
          <w:t>жидо-путинизм</w:t>
        </w:r>
        <w:r>
          <w:rPr>
            <w:rStyle w:val="InternetLink"/>
            <w:rFonts w:eastAsiaTheme="minorEastAsia" w:ascii="Times New Roman" w:hAnsi="Times New Roman"/>
            <w:b/>
            <w:color w:val="CE181E"/>
            <w:sz w:val="28"/>
            <w:szCs w:val="28"/>
            <w:highlight w:val="yellow"/>
          </w:rPr>
          <w:t>/</w:t>
        </w:r>
      </w:hyperlink>
      <w:r>
        <w:rPr>
          <w:rFonts w:eastAsiaTheme="minorEastAsia" w:ascii="Times New Roman" w:hAnsi="Times New Roman"/>
          <w:b/>
          <w:color w:val="CE181E"/>
          <w:sz w:val="28"/>
          <w:szCs w:val="28"/>
          <w:highlight w:val="yellow"/>
        </w:rPr>
        <w:t xml:space="preserve"> ]</w:t>
      </w:r>
    </w:p>
    <w:p>
      <w:pPr>
        <w:pStyle w:val="Normal"/>
        <w:widowControl w:val="false"/>
        <w:spacing w:lineRule="auto" w:line="360" w:before="0" w:after="0"/>
        <w:ind w:firstLine="709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18" w:right="1418" w:header="720" w:top="1418" w:footer="720" w:bottom="1701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nos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185d"/>
    <w:pPr>
      <w:widowControl/>
      <w:bidi w:val="0"/>
      <w:spacing w:lineRule="auto" w:line="259" w:before="0" w:after="16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185d"/>
    <w:rPr>
      <w:rFonts w:cs="Times New Roman"/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42185d"/>
    <w:rPr>
      <w:rFonts w:eastAsia="" w:cs="Times New Roman" w:eastAsiaTheme="minorEastAsia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2185d"/>
    <w:rPr>
      <w:rFonts w:eastAsia="" w:cs="Times New Roman" w:eastAsiaTheme="minorEastAsia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2185d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Style17" w:customStyle="1">
    <w:name w:val="Тема примечания Знак"/>
    <w:basedOn w:val="Style14"/>
    <w:link w:val="aa"/>
    <w:uiPriority w:val="99"/>
    <w:semiHidden/>
    <w:qFormat/>
    <w:rsid w:val="005a109f"/>
    <w:rPr>
      <w:rFonts w:eastAsia="" w:cs="Times New Roman" w:eastAsiaTheme="minorEastAsia"/>
      <w:b/>
      <w:bCs/>
      <w:sz w:val="20"/>
      <w:szCs w:val="20"/>
      <w:lang w:eastAsia="ru-RU"/>
    </w:rPr>
  </w:style>
  <w:style w:type="character" w:styleId="Style18" w:customStyle="1">
    <w:name w:val="Подзаголовок Знак"/>
    <w:basedOn w:val="DefaultParagraphFont"/>
    <w:link w:val="ac"/>
    <w:uiPriority w:val="11"/>
    <w:qFormat/>
    <w:rsid w:val="00fd3840"/>
    <w:rPr>
      <w:rFonts w:eastAsia="" w:eastAsiaTheme="minorEastAsia"/>
      <w:color w:val="5A5A5A" w:themeColor="text1" w:themeTint="a5"/>
      <w:spacing w:val="15"/>
      <w:lang w:eastAsia="ru-RU"/>
    </w:rPr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0373a6"/>
    <w:rPr>
      <w:rFonts w:eastAsia="" w:cs="Times New Roman" w:eastAsiaTheme="minorEastAsia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mo" w:hAnsi="Arim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42185d"/>
    <w:pPr>
      <w:spacing w:lineRule="auto" w:line="240"/>
    </w:pPr>
    <w:rPr>
      <w:sz w:val="20"/>
      <w:szCs w:val="20"/>
    </w:rPr>
  </w:style>
  <w:style w:type="paragraph" w:styleId="Header">
    <w:name w:val="Header"/>
    <w:basedOn w:val="Normal"/>
    <w:link w:val="a7"/>
    <w:uiPriority w:val="99"/>
    <w:unhideWhenUsed/>
    <w:rsid w:val="0042185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2185d"/>
    <w:pPr>
      <w:widowControl w:val="false"/>
      <w:bidi w:val="0"/>
      <w:spacing w:lineRule="auto" w:line="240" w:before="0" w:after="0"/>
      <w:jc w:val="left"/>
    </w:pPr>
    <w:rPr>
      <w:rFonts w:eastAsia="" w:cs="Calibri" w:eastAsiaTheme="minorEastAsia" w:ascii="Calibri" w:hAnsi="Calibr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218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5a109f"/>
    <w:pPr/>
    <w:rPr>
      <w:b/>
      <w:bCs/>
    </w:rPr>
  </w:style>
  <w:style w:type="paragraph" w:styleId="Subtitle">
    <w:name w:val="Subtitle"/>
    <w:basedOn w:val="Normal"/>
    <w:next w:val="Normal"/>
    <w:link w:val="ad"/>
    <w:uiPriority w:val="11"/>
    <w:qFormat/>
    <w:rsid w:val="00fd3840"/>
    <w:pPr/>
    <w:rPr>
      <w:rFonts w:cs="" w:cstheme="minorBid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764f4"/>
    <w:pPr>
      <w:spacing w:before="0" w:after="160"/>
      <w:ind w:left="720" w:hanging="0"/>
      <w:contextualSpacing/>
    </w:pPr>
    <w:rPr/>
  </w:style>
  <w:style w:type="paragraph" w:styleId="Footer">
    <w:name w:val="Footer"/>
    <w:basedOn w:val="Normal"/>
    <w:link w:val="af0"/>
    <w:uiPriority w:val="99"/>
    <w:unhideWhenUsed/>
    <w:rsid w:val="000373a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eathofcommunism.com/&#1078;&#1080;&#1076;&#1086;-&#1087;&#1091;&#1090;&#1080;&#1085;&#1080;&#1079;&#1084;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C8E6-EB40-4DD0-8378-BE3D4769D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00D54-FAD2-4F1C-96AF-7906ABF9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